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13" w:rsidRDefault="00E12213" w:rsidP="003B7944">
      <w:pPr>
        <w:pStyle w:val="Normaalweb"/>
      </w:pPr>
      <w:r>
        <w:rPr>
          <w:rFonts w:ascii="Tahoma" w:hAnsi="Tahoma" w:cs="Tahoma"/>
          <w:sz w:val="15"/>
          <w:szCs w:val="15"/>
        </w:rPr>
        <w:t xml:space="preserve">______________________________________________ </w:t>
      </w:r>
      <w:r>
        <w:br/>
      </w:r>
      <w:r>
        <w:rPr>
          <w:rFonts w:ascii="Tahoma" w:hAnsi="Tahoma" w:cs="Tahoma"/>
          <w:b/>
          <w:bCs/>
          <w:sz w:val="15"/>
          <w:szCs w:val="15"/>
        </w:rPr>
        <w:t>Van:   </w:t>
      </w:r>
      <w:r>
        <w:t xml:space="preserve"> </w:t>
      </w:r>
      <w:r>
        <w:rPr>
          <w:rFonts w:ascii="Tahoma" w:hAnsi="Tahoma" w:cs="Tahoma"/>
          <w:sz w:val="15"/>
          <w:szCs w:val="15"/>
        </w:rPr>
        <w:t xml:space="preserve">Harmers, BJ, AOO, DMO/DLB/LCW/STGP  </w:t>
      </w:r>
      <w:r>
        <w:br/>
      </w:r>
      <w:r>
        <w:rPr>
          <w:rFonts w:ascii="Tahoma" w:hAnsi="Tahoma" w:cs="Tahoma"/>
          <w:b/>
          <w:bCs/>
          <w:sz w:val="15"/>
          <w:szCs w:val="15"/>
        </w:rPr>
        <w:t>Verzonden:     </w:t>
      </w:r>
      <w:r>
        <w:t xml:space="preserve"> </w:t>
      </w:r>
      <w:r>
        <w:rPr>
          <w:rFonts w:ascii="Tahoma" w:hAnsi="Tahoma" w:cs="Tahoma"/>
          <w:sz w:val="15"/>
          <w:szCs w:val="15"/>
        </w:rPr>
        <w:t>woensdag 3 februari 2010 11:31</w:t>
      </w:r>
      <w:r>
        <w:t xml:space="preserve"> </w:t>
      </w:r>
      <w:r>
        <w:br/>
      </w:r>
      <w:r>
        <w:rPr>
          <w:rFonts w:ascii="Tahoma" w:hAnsi="Tahoma" w:cs="Tahoma"/>
          <w:b/>
          <w:bCs/>
          <w:sz w:val="15"/>
          <w:szCs w:val="15"/>
        </w:rPr>
        <w:t>Aan:   </w:t>
      </w:r>
      <w:r>
        <w:t xml:space="preserve"> </w:t>
      </w:r>
      <w:r>
        <w:rPr>
          <w:rFonts w:ascii="Tahoma" w:hAnsi="Tahoma" w:cs="Tahoma"/>
          <w:sz w:val="15"/>
          <w:szCs w:val="15"/>
        </w:rPr>
        <w:t>Aarden-Aerts, MPJ, DMO/DLB/LCW/STGP/BA; Weele, MY, van der, DMO/DLB/LCW/STGP/MAINT&amp;PROJ; Harmers, BJ, AOO, DMO/DLB/LCW/STGP; Hubregtse, EA, KAP, DMO/DLB/LCW/STGP/FZ; Spaandonk, GJM, van, Ir. ing., DMO/DLB/LCW/STGP/MLZ; Pont, JBEAM, de, ELT, DMO/DLB/LCW/STGP/VBT MEO; Weide, JF, van der, Ing. MBA, DMO/DLB/LCW/STGP/P&amp;C/MC; Plas, CWD, van der, DMO/DLB/LCW/STGP/P&amp;C/FC; Brouwer, JA, de, DMO/DLB/LCW/STGP/FZ/NWB; Wanrooij, WCJM, van, Ing., DMO/DLB/LCW/TECH/PE GSM/NRBC; Vogel, PP, de, DMO/DLB/LCW/STGP/FZ/BDI; Bruijn, P, de, MAJ, Ing., DMO/DLB/LCW/STGP/KLAM; Parent, R, KAP, Ing., DMO/DLB/LCW/STGP/KLAM; Winkel, PJM, van, MAJ, DMO/DLB/LCW/STGP/PR INR LCW; Smeulders, BAM, DMO/DLB/LCW/STGP/P&amp;O STGP/P&amp;O ADVIES; Aalbrechtse, ML, BC., DMO/DLB/LCW/STGP/P&amp;O STGP/P&amp;O ADVIES; Boeijen, JFB, BC., DMO/DLB/LCW/RHENEN/LR STGP; Tilburg, JM, van, KAP, DMO/DLB/LCW/STGP/P&amp;O STGP/P&amp;O SERVIC; Vergeer, CMP, DMO/DLB/LCW/AM/BOST; Huijben, AJHM, DMO/DLB/LCW/AM/BOST; Lassauw, PHJ, LTKOL, Ing., DMO/DLB/LCW/AM/GW; Bijnagte, J, LTKOL, DMO/DLB/LCW/AM/J&amp;L; Zoeteman, RC, LTKOL, Ing., DMO/DLB/LCW/AM/PGS; Duijnkerke, C, LTKOL, Ing. M.Sc., DMO/DLB/LCW/AM/HELI; Boesterd, RHM, den, MAJ, Ing., DMO/DLB/LCW/AM/PGS; Smolders, RAPM, DMO/DLB/LCW/LOG/LM/HELI; Ven, EAJ, van de, LTKOL, DMO/DLB/LCW/LOG/LM; Kramer, MPF, DMO/DLB/LCW/LOG/LM/CODIF&amp;ANL; Weerd, FJ, van de, MAJ, BC., DMO/DLB/LCW/LOG/LM/J&amp;L; Joannes, HL, MAJ, BC., DMO/DLB/LCW/LOG/LM/HELI; Hengelman, FJG, MAJ, BC., DMO/DLB/LCW/LOG/LM/OVR SYSN; Smarius, EAJJM, Ing., DMO/DLB/LCW/LOG/LM/HELI; Norden, M, van, ELT, DMO/DLB/LCW/LOG/LM/HELI; Boom, R, van den, KAP, DMO/DLB/LCW/LOG/LM/HELI; Water, NFAM, van de, KAP, DMO/DLB/LCW/LOG/LM/OVR SYSN; Ham, EM, van der, DMO/DLB/LCW/LOG/LM/GW; Jong, DPE, de, KAP, DMO/DLB/LCW/LOG/LM/GW; Maassen, N, DMO/DLB/LCW/LOG/LM/OVR SYSN; Breijer, A, KAP, DMO/DLB/LCW/LOG/LM/OVR SYSN; Dijk, PJL, van, LTKOL, DMO/DLB/LCW/LOG/VERWV; Zeyl, L, van, DMO/DLB/LCW/LOG/VERWV; Hattem, DR, van, DMO/DLB/LCW/LOG/FD; Kelling, PE, ELT, DMO/DLB/LCW/LOG/FD/O&amp;D; Broek, DA, van den, DMO/DLB/LCW/LOG/FD/FO; Es, BC, van, AOO, DMO/DLB/LCW/LOG/FD/O&amp;D/MATCNTRL; Posthuma, MHE, DMO/DLB/LCW/LOG/FD/O&amp;D/ADMIN; Koning, CTHM, de, DMO/DLB/LCW/TECH/BIBL; Meinders, NF, MAJ, Ing., DMO/DLB/LCW/TECH/PE COMP; Leinse, APJ, KAP, Ing., DMO/DLB/LCW/TECH/PE COMP/BB; Jong, BE, de, KAP, Ir., DMO/DLB/LCW/TECH/PE COMP/M&amp;M; Zaal, MPT, Ing. B., DMO/DLB/LCW/TECH/PE COMP/BB; Hesseling, RFA, KAP, Ing., DMO/DLB/LCW/TECH/PE COMP/AVIO; Duijne, RE, van, KAP, Ir., DMO/DLB/LCW/TECH/PE COMP/MS; Kempen, RJW, van, DMO/DLB/LCW/TECH/PE COMP/MS; Stoel, JP, AOO, DMO/DLB/LCW/TECH/PE COMP/MS; Verhoeven, JJC, DMO/DLB/LCW/TECH/PE COMP/M&amp;O; Raadgever, K, AOO, DMO/DLB/LCW/TECH/PE COMP/M&amp;O; Olffen, JJ, van, AOO, DMO/DLB/LCW/TECH/PE COMP/M&amp;O; Roo, K, de, AOO, DMO/DLB/LCW/TECH/PE COMP/M&amp;O; Daamen, GM, AOO, DMO/DLB/LCW/TECH/PE COMP/M&amp;M; Lambregts, CAH, MAJ, DMO/DLB/LCW/TECH/PE GSM; Lee, SM, Ir., DMO/DLB/LCW/TECH/PE GSM/BB; Spijkers, JA, DMO/DLB/LCW/TECH/PE GSM/AOST; Bullee, JGA, KAP, Ing., DMO/DLB/LCW/TECH/PE GSM/LVB; Jansen, JG, Ing., DMO/DLB/LCW/TECH/PE GSM/LVB; Meeuwissen, JAJM, DMO/DLB/LCW/TECH/PE GSM/C4I; Cornelissen, AJM, DMO/DLB/LCW/TECH/PE GSM/PROJ; Wiegeraad, AM, DMO/DLB/LCW/TECH/PE GSM/PROJ; Keulers, HJMM, KAP, DMO/DLB/LCW/TECH/PE GSM/SYSINT; Bladel, AJM, van, Ir. M.Sc., DMO/DLB/LCW/TECH/PE GSM/WPNELEK; Donkers, HJJ, DMO/DLB/LCW/TECH/PE GSM/WPNELEK; Bokma, BDWJI, LTKOL, DMO/DLB/LCW/TECH/PE ON; Pinto Teixeira, EA, KAP, DMO/DLB/LCW/TECH/PE ON/J&amp;L; Jong, CAJ, de, KAP, Ing., DMO/DLB/LCW/TECH/PE ON/HELI; Kwakernaak, J, ELT, DMO/DLB/LCW/TECH/PE ON/VPKS; Maas, GPHM, CLSK/DHC/O&amp;E/299SQ/LEERDOCK; Scherpenisse, PJ, Ing., DMO/DLB/LCW/TECH/PE ON/BB; Adding, JA, ELT, Ing., DMO/DLB/LCW/TECH/PE ON/BB; Emmers, CJTJ, AOO, DMO/DLB/LCW/TECH/PE ON/VPKS; Pas, FAM, van de, DMO/DLB/LCW/RHENEN/LR STGP/ST BOST BV; Voigt, H, KAP, DMO/DLB/LCW/RHENEN/LR FACDNST; Muijsert, HJH, AOO, DMO/DLB/LCW/RHENEN/LR FACDNST/FD HDNSEC; Snikkers, M, AOO, DMO/DLB/LCW/TECH/PE ON/BERGING; Es, JJHM, van, AOO, DMO/DLB/LCW/TECH/PE ON/HELI; Nagel, DA, AOO, DMO/DLB/LCW/TECH/PE ON/HELI; Krijger, C, AOO, DMO/DLB/LCW/TECH/PE ON/HELI; Rodenburg, HT, DMO/DLB/LCW/RHENEN/LR FACDNST/FD BUR BDV; Rijn, W, van, MAJ, DMO/DLB/LCW/RHENEN/LR STGP; Hunnik, H, van, AOO, DMO/DLB/LCW/RHENEN/LR MAT DNS/MD MAT VZN; Nieuwamerongen, G, van, DMO/DLB/LCW/RHENEN/LR MAT DNS/MD I &amp; DC; Broeders, AWJ, DMO/DLB/LCW/LOK DGN/LD STGP; Ronde, JPJ, de, DMO/DLB/LCW/LOK DGN/LD STGP/ST BOST BV; Hoeboer, AC, AOO, DMO/DLB/LCW/LOK DGN/LD FACDNST; Berg, D, van den, DMO/DLB/LCW/LOK DGN/LD FACDNST/FD BU LOG; Helsdingen-Kriek, NA, MAJ, DMO/DLB/LCW/MARHELI; Flem, RF, DMO/DLB/LCW/MARHELI/CM LOG; Rentenaar, MR, LTZE 2, Ing., DMO/DLB/LCW/MARHELI/CM LOG; Kramer, A, DMO/DLB/LCW/MARHELI/CM TECH; Paardekooper, E, CLSK/DHC/BOE/MARHELI/Marheli/Onderhouds/Sectie Ue; Krijgsman, RA, KAP, Ing., DMO/DLB/LCW/MARHELI/CM TECH; Traas, AC, BC., DMO/DLB/LCW/STGP/P&amp;O STGP</w:t>
      </w:r>
    </w:p>
    <w:p w:rsidR="00E12213" w:rsidRDefault="00E12213" w:rsidP="003B7944">
      <w:pPr>
        <w:pStyle w:val="Normaalweb"/>
      </w:pPr>
      <w:r>
        <w:rPr>
          <w:rFonts w:ascii="Tahoma" w:hAnsi="Tahoma" w:cs="Tahoma"/>
          <w:b/>
          <w:bCs/>
          <w:sz w:val="15"/>
          <w:szCs w:val="15"/>
        </w:rPr>
        <w:t>CC:    </w:t>
      </w:r>
      <w:r>
        <w:t xml:space="preserve"> </w:t>
      </w:r>
      <w:r>
        <w:rPr>
          <w:rFonts w:ascii="Tahoma" w:hAnsi="Tahoma" w:cs="Tahoma"/>
          <w:sz w:val="15"/>
          <w:szCs w:val="15"/>
        </w:rPr>
        <w:t>Droste, MJCM, KOL, DMO/DLB/LCW/LOG; Daatselaar, LJ, van, KOL, DMO/DLB/LCW/AM; Stegmann, BFJ, DMO/DLB/LCW/STGP/P&amp;C; Snoek, JMP, DMO/DLB/LCW/STGP/P&amp;O STGP; Graauw, CF, de, KOL, Ir., DMO/DLB/LCW/STGP</w:t>
      </w:r>
    </w:p>
    <w:p w:rsidR="00E12213" w:rsidRDefault="00E12213" w:rsidP="003B7944">
      <w:pPr>
        <w:pStyle w:val="Normaalweb"/>
      </w:pPr>
      <w:r>
        <w:rPr>
          <w:rFonts w:ascii="Tahoma" w:hAnsi="Tahoma" w:cs="Tahoma"/>
          <w:b/>
          <w:bCs/>
          <w:sz w:val="15"/>
          <w:szCs w:val="15"/>
        </w:rPr>
        <w:t>Onderwerp:     </w:t>
      </w:r>
      <w:r>
        <w:t xml:space="preserve"> </w:t>
      </w:r>
      <w:r>
        <w:rPr>
          <w:rFonts w:ascii="Tahoma" w:hAnsi="Tahoma" w:cs="Tahoma"/>
          <w:sz w:val="15"/>
          <w:szCs w:val="15"/>
        </w:rPr>
        <w:t>Declareren kleine component in DIDO (bericht namens DLCW)</w:t>
      </w:r>
      <w:r>
        <w:t xml:space="preserve"> </w:t>
      </w:r>
    </w:p>
    <w:p w:rsidR="00E12213" w:rsidRDefault="00E12213" w:rsidP="003B7944">
      <w:pPr>
        <w:pStyle w:val="Normaalweb"/>
      </w:pPr>
      <w:r>
        <w:rPr>
          <w:rFonts w:ascii="Verdana" w:hAnsi="Verdana"/>
          <w:b/>
          <w:bCs/>
          <w:color w:val="FF0000"/>
          <w:sz w:val="20"/>
          <w:szCs w:val="20"/>
        </w:rPr>
        <w:t>Allen,</w:t>
      </w:r>
      <w:r>
        <w:t xml:space="preserve"> </w:t>
      </w:r>
    </w:p>
    <w:p w:rsidR="00E12213" w:rsidRDefault="00E12213" w:rsidP="003B7944">
      <w:pPr>
        <w:pStyle w:val="Normaalweb"/>
      </w:pPr>
      <w:r>
        <w:rPr>
          <w:rFonts w:ascii="Verdana" w:hAnsi="Verdana"/>
          <w:b/>
          <w:bCs/>
          <w:color w:val="FF0000"/>
          <w:sz w:val="20"/>
          <w:szCs w:val="20"/>
        </w:rPr>
        <w:t xml:space="preserve">Gebleken is dat diverse werknemers geen gehoor geven aan het gestelde in onderstaande. </w:t>
      </w:r>
      <w:r>
        <w:br/>
      </w:r>
      <w:r>
        <w:rPr>
          <w:rFonts w:ascii="Verdana" w:hAnsi="Verdana"/>
          <w:b/>
          <w:bCs/>
          <w:color w:val="FF0000"/>
          <w:sz w:val="20"/>
          <w:szCs w:val="20"/>
        </w:rPr>
        <w:t xml:space="preserve">Schenden van onderstaand bericht wordt aangemerkt als fraude. In voorkomend geval zullen gepaste maatregelen genomen worden. </w:t>
      </w:r>
    </w:p>
    <w:p w:rsidR="00E12213" w:rsidRDefault="00E12213" w:rsidP="003B7944">
      <w:pPr>
        <w:pStyle w:val="Normaalweb"/>
      </w:pPr>
      <w:r>
        <w:rPr>
          <w:rFonts w:ascii="Verdana" w:hAnsi="Verdana"/>
          <w:b/>
          <w:bCs/>
          <w:color w:val="FF0000"/>
          <w:sz w:val="20"/>
          <w:szCs w:val="20"/>
        </w:rPr>
        <w:t>Alle foutief ingediende declaraties vanaf 01-02-2010 dient u alsnog corrigeren.</w:t>
      </w:r>
      <w:r>
        <w:t xml:space="preserve"> </w:t>
      </w:r>
      <w:r>
        <w:br/>
      </w:r>
      <w:r>
        <w:rPr>
          <w:rFonts w:ascii="Verdana" w:hAnsi="Verdana"/>
          <w:b/>
          <w:bCs/>
          <w:color w:val="FF0000"/>
          <w:sz w:val="20"/>
          <w:szCs w:val="20"/>
        </w:rPr>
        <w:t xml:space="preserve">  </w:t>
      </w:r>
      <w:r>
        <w:br/>
      </w:r>
      <w:r>
        <w:rPr>
          <w:rFonts w:ascii="Verdana" w:hAnsi="Verdana"/>
          <w:b/>
          <w:bCs/>
          <w:color w:val="FF0000"/>
          <w:sz w:val="20"/>
          <w:szCs w:val="20"/>
        </w:rPr>
        <w:t>Bij deze de opdracht om onverwijld hier uitvoering aan te geven.</w:t>
      </w:r>
      <w:r>
        <w:t xml:space="preserve"> </w:t>
      </w:r>
    </w:p>
    <w:p w:rsidR="00E12213" w:rsidRDefault="00E12213" w:rsidP="003B7944">
      <w:pPr>
        <w:spacing w:after="240"/>
      </w:pPr>
    </w:p>
    <w:p w:rsidR="00E12213" w:rsidRPr="003B7944" w:rsidRDefault="00E12213" w:rsidP="003B7944">
      <w:pPr>
        <w:pStyle w:val="Normaalweb"/>
      </w:pPr>
      <w:r w:rsidRPr="003B7944">
        <w:rPr>
          <w:rFonts w:ascii="Verdana" w:hAnsi="Verdana"/>
          <w:b/>
          <w:bCs/>
          <w:color w:val="FF0000"/>
          <w:sz w:val="20"/>
          <w:szCs w:val="20"/>
        </w:rPr>
        <w:t xml:space="preserve">D LCW </w:t>
      </w:r>
    </w:p>
    <w:p w:rsidR="00E12213" w:rsidRPr="003B7944" w:rsidRDefault="00E12213" w:rsidP="003B7944">
      <w:pPr>
        <w:pStyle w:val="Normaalweb"/>
      </w:pPr>
      <w:r w:rsidRPr="003B7944">
        <w:rPr>
          <w:rFonts w:ascii="Verdana" w:hAnsi="Verdana"/>
          <w:b/>
          <w:bCs/>
          <w:color w:val="FF0000"/>
          <w:sz w:val="20"/>
          <w:szCs w:val="20"/>
        </w:rPr>
        <w:lastRenderedPageBreak/>
        <w:t xml:space="preserve">Cdre. P.K. Ort </w:t>
      </w:r>
    </w:p>
    <w:p w:rsidR="00E12213" w:rsidRPr="003B7944" w:rsidRDefault="00E12213" w:rsidP="003B7944"/>
    <w:p w:rsidR="00E12213" w:rsidRDefault="00E12213" w:rsidP="003B7944">
      <w:pPr>
        <w:pStyle w:val="Normaalweb"/>
      </w:pPr>
      <w:r>
        <w:rPr>
          <w:b/>
          <w:bCs/>
          <w:color w:val="000080"/>
          <w:u w:val="single"/>
        </w:rPr>
        <w:t>18-12-2009</w:t>
      </w:r>
      <w:r>
        <w:t xml:space="preserve"> </w:t>
      </w:r>
      <w:r>
        <w:br/>
      </w:r>
      <w:r>
        <w:rPr>
          <w:b/>
          <w:bCs/>
          <w:color w:val="000000"/>
        </w:rPr>
        <w:t>Declareren kleine component in DIDO</w:t>
      </w:r>
      <w:r>
        <w:t xml:space="preserve"> </w:t>
      </w:r>
      <w:r>
        <w:br/>
      </w:r>
      <w:r>
        <w:rPr>
          <w:color w:val="000000"/>
        </w:rPr>
        <w:t>De kleine component (dagcomponent) is een vergoeding voor kleine uitgaven.</w:t>
      </w:r>
      <w:r>
        <w:t xml:space="preserve"> </w:t>
      </w:r>
      <w:r>
        <w:br/>
      </w:r>
      <w:r>
        <w:rPr>
          <w:color w:val="000000"/>
        </w:rPr>
        <w:t>Onder kleine uitgaven worden begrepen, de buiten defensielocaties noodzakelijk te maken kosten voor consumpties die op defensielocaties kosteloos verkrijgbaar zijn. Onder consumpties wordt koffie en thee verstaan. Deze consumpties zijn vrij verkrijgbaar op zowel de eigen defensielocatie als op andere defensielocaties. Hierdoor is het niet noodzakelijk meer kosten te maken dan die u zou maken indien u aanwezig bent op de plaats van tewerkstelling. Voor overige consumpties dient immers ook op de eigen defensielocatie betaald te worden. Het verblijf op een andere defensielocatie brengt daarmee geen noodzakelijk te maken kosten met zich.</w:t>
      </w:r>
    </w:p>
    <w:p w:rsidR="00E12213" w:rsidRDefault="00E12213" w:rsidP="003B7944">
      <w:pPr>
        <w:pStyle w:val="Normaalweb"/>
      </w:pPr>
      <w:r>
        <w:rPr>
          <w:color w:val="000000"/>
        </w:rPr>
        <w:t>Om bovenstaande reden wordt met ingang van 1 januari 2010 - indien in DIDO bij de categorie reis de optie “gewone dienstreis” (in het tabblad reisgegevens) wordt gekozen - de kleine component niet meer automatisch uitbetaald. Het zal nog wel mogelijk zijn de kleine component in DIDO in te vullen, in dit geval dient een toelichting gegeven te worden waarom de kleine component gedeclareerd wordt.</w:t>
      </w:r>
      <w:r>
        <w:rPr>
          <w:color w:val="000000"/>
        </w:rPr>
        <w:br/>
      </w:r>
      <w:r>
        <w:rPr>
          <w:color w:val="000000"/>
        </w:rPr>
        <w:br/>
        <w:t>Bij de volgende activiteiten:</w:t>
      </w:r>
      <w:r>
        <w:rPr>
          <w:color w:val="000000"/>
        </w:rPr>
        <w:br/>
        <w:t>- Medisch (MGD/CMH/bedrijfsarts)</w:t>
      </w:r>
      <w:r>
        <w:rPr>
          <w:color w:val="000000"/>
        </w:rPr>
        <w:br/>
        <w:t>- Medische repatriëring</w:t>
      </w:r>
      <w:r>
        <w:rPr>
          <w:color w:val="000000"/>
        </w:rPr>
        <w:br/>
        <w:t>- Oefening (evaluatie)</w:t>
      </w:r>
      <w:r>
        <w:rPr>
          <w:color w:val="000000"/>
        </w:rPr>
        <w:br/>
        <w:t>- Oproep reservisten</w:t>
      </w:r>
      <w:r>
        <w:rPr>
          <w:color w:val="000000"/>
        </w:rPr>
        <w:br/>
        <w:t>- Representatie bezoek collega</w:t>
      </w:r>
      <w:r>
        <w:rPr>
          <w:color w:val="000000"/>
        </w:rPr>
        <w:br/>
        <w:t>- Sollicitatie binnen Defensie</w:t>
      </w:r>
      <w:r>
        <w:rPr>
          <w:color w:val="000000"/>
        </w:rPr>
        <w:br/>
        <w:t>- Sportactiviteit</w:t>
      </w:r>
      <w:r>
        <w:rPr>
          <w:color w:val="000000"/>
        </w:rPr>
        <w:br/>
        <w:t>is het niet toegestaan om bij de categorie reis in DIDO de optie “gewone dienstreis” te kiezen. Er zal moeten worden gekozen uit één van de bovengenoemde activiteiten. Voorbeeld: U gaat naar het CMH. In het tabblad reisgegevens in DIDO kiest u bij de categorie reis de optie “Medisch (MGD/CMH/bedrijfsarts)”.</w:t>
      </w:r>
      <w:r>
        <w:rPr>
          <w:color w:val="000000"/>
        </w:rPr>
        <w:br/>
        <w:t>De reden dat deze optie gekozen dient te worden, is dat er geen verblijfkosten (kleine component of maaltijden) gedeclareerd mogen worden (zie</w:t>
      </w:r>
      <w:r>
        <w:t xml:space="preserve"> </w:t>
      </w:r>
      <w:hyperlink r:id="rId4" w:history="1">
        <w:r>
          <w:rPr>
            <w:rStyle w:val="Hyperlink"/>
          </w:rPr>
          <w:t>MP 31-300 artikel 13 lid 1d van het Besluit dienstreizen Defensie</w:t>
        </w:r>
      </w:hyperlink>
      <w:r>
        <w:t xml:space="preserve"> en </w:t>
      </w:r>
      <w:hyperlink r:id="rId5" w:history="1">
        <w:r>
          <w:rPr>
            <w:rStyle w:val="Hyperlink"/>
          </w:rPr>
          <w:t>MP 31-300 artikel 14 van de Regeling dienstreizen Defensie</w:t>
        </w:r>
      </w:hyperlink>
      <w:r>
        <w:t>).</w:t>
      </w:r>
      <w:r>
        <w:br/>
      </w:r>
      <w:r>
        <w:br/>
      </w:r>
      <w:r>
        <w:rPr>
          <w:color w:val="000000"/>
        </w:rPr>
        <w:t>Bij alle dienstreizen die zijn ingediend voor 1 januari 2010, worden automatisch de dagcomponenten en de toelichting ingevuld. Er zijn twee mogelijkheden:</w:t>
      </w:r>
      <w:r>
        <w:rPr>
          <w:color w:val="000000"/>
        </w:rPr>
        <w:br/>
        <w:t>1. De dienstreis staat op de werklijst van de transactieafhandelaar/manager. In dit geval heeft de transactieafhandelaar/manager de mogelijkheid - op basis van de standaard toelichting - de dienstreis terug te sturen, de dagcomponent te verwijderen of goed te keuren.</w:t>
      </w:r>
      <w:r>
        <w:rPr>
          <w:color w:val="000000"/>
        </w:rPr>
        <w:br/>
        <w:t>2. De dienstreis staat op de werklijst van de medewerker. In dit geval krijgt de medewerker, bij het versturen van de dienstreis, de foutmelding dat de toelichting moet worden ingevuld. De medewerker heeft ook de mogelijkheid om dagcomponent te verwijderen, in dit geval geeft DIDO geen foutmelding</w:t>
      </w:r>
      <w:r>
        <w:t>.</w:t>
      </w:r>
    </w:p>
    <w:p w:rsidR="00E12213" w:rsidRDefault="00E12213" w:rsidP="003B7944">
      <w:pPr>
        <w:spacing w:after="240"/>
      </w:pPr>
      <w:r>
        <w:lastRenderedPageBreak/>
        <w:br/>
      </w:r>
      <w:r>
        <w:br/>
      </w:r>
      <w:r>
        <w:br/>
      </w:r>
      <w:r>
        <w:br/>
      </w:r>
      <w:r>
        <w:br/>
      </w:r>
      <w:r>
        <w:br/>
      </w:r>
      <w:r>
        <w:br/>
      </w:r>
      <w:r>
        <w:br/>
      </w:r>
      <w:r>
        <w:br/>
      </w:r>
    </w:p>
    <w:p w:rsidR="00E12213" w:rsidRDefault="003B2FE2" w:rsidP="003B7944">
      <w:pPr>
        <w:jc w:val="center"/>
      </w:pPr>
      <w:r>
        <w:pict>
          <v:rect id="_x0000_i1025" style="width:453.6pt;height:1.5pt" o:hralign="center" o:hrstd="t" o:hr="t" fillcolor="gray" stroked="f"/>
        </w:pict>
      </w:r>
    </w:p>
    <w:p w:rsidR="00E12213" w:rsidRDefault="00E12213" w:rsidP="003B7944">
      <w:r>
        <w:t>Dit bericht kan informatie bevatten die niet voor u is bestemd. Indien u niet de geadresseerde bent of dit bericht abusievelijk aan u is toegezonden, wordt u verzocht dat aan de afzender te melden en het bericht te verwijderen. De Staat aanvaardt geen aansprakelijkheid voor schade, van welke aard ook, die verband houdt met risico's verbonden aan het elektronisch verzenden van berichten.</w:t>
      </w:r>
      <w:r>
        <w:br/>
      </w:r>
      <w:r>
        <w:br/>
      </w:r>
      <w:r w:rsidRPr="003B7944">
        <w:rPr>
          <w:lang w:val="en-US"/>
        </w:rPr>
        <w:t>This message may contain information that is not intended for you. If you are not the addressee or if this message was sent to you by mistake, you are requested to inform the sender and delete the message. The State accepts no liability for damage of any kind resulting from the risks inherent in the electronic transmission of messages.</w:t>
      </w:r>
      <w:r w:rsidRPr="003B7944">
        <w:rPr>
          <w:lang w:val="en-US"/>
        </w:rPr>
        <w:br/>
      </w:r>
      <w:r w:rsidRPr="003B7944">
        <w:rPr>
          <w:lang w:val="en-US"/>
        </w:rPr>
        <w:br/>
      </w:r>
      <w:r w:rsidRPr="003B7944">
        <w:rPr>
          <w:lang w:val="en-US"/>
        </w:rPr>
        <w:br/>
      </w:r>
      <w:r>
        <w:t>__________ NOD32 4837 (20100205) Informatie __________</w:t>
      </w:r>
      <w:r>
        <w:br/>
      </w:r>
      <w:r>
        <w:br/>
        <w:t>Dit bericht is gecontroleerd door het NOD32 Antivirus Systeem.</w:t>
      </w:r>
      <w:r>
        <w:br/>
      </w:r>
      <w:hyperlink r:id="rId6" w:history="1">
        <w:r>
          <w:rPr>
            <w:rStyle w:val="Hyperlink"/>
          </w:rPr>
          <w:t>http://www.nod32.nl</w:t>
        </w:r>
      </w:hyperlink>
    </w:p>
    <w:p w:rsidR="00E12213" w:rsidRDefault="00E12213" w:rsidP="003B7944">
      <w:r>
        <w:br/>
      </w:r>
      <w:r>
        <w:br/>
        <w:t>__________ NOD32 4842 (20100206) Informatie __________</w:t>
      </w:r>
      <w:r>
        <w:br/>
      </w:r>
      <w:r>
        <w:br/>
        <w:t>Dit bericht is gecontroleerd door het NOD32 Antivirus Systeem.</w:t>
      </w:r>
      <w:r>
        <w:br/>
      </w:r>
      <w:hyperlink r:id="rId7" w:history="1">
        <w:r>
          <w:rPr>
            <w:rStyle w:val="Hyperlink"/>
          </w:rPr>
          <w:t>http://www.nod32.nl</w:t>
        </w:r>
      </w:hyperlink>
    </w:p>
    <w:p w:rsidR="00E12213" w:rsidRDefault="00E12213"/>
    <w:sectPr w:rsidR="00E12213" w:rsidSect="004D7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7944"/>
    <w:rsid w:val="001A666F"/>
    <w:rsid w:val="003B2FE2"/>
    <w:rsid w:val="003B7944"/>
    <w:rsid w:val="00477F78"/>
    <w:rsid w:val="004D7FBF"/>
    <w:rsid w:val="00763A3F"/>
    <w:rsid w:val="008A0FB0"/>
    <w:rsid w:val="00913244"/>
    <w:rsid w:val="00A365E0"/>
    <w:rsid w:val="00E122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7944"/>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3B7944"/>
    <w:rPr>
      <w:rFonts w:cs="Times New Roman"/>
      <w:color w:val="0000FF"/>
      <w:u w:val="single"/>
    </w:rPr>
  </w:style>
  <w:style w:type="paragraph" w:styleId="Normaalweb">
    <w:name w:val="Normal (Web)"/>
    <w:basedOn w:val="Standaard"/>
    <w:uiPriority w:val="99"/>
    <w:semiHidden/>
    <w:rsid w:val="003B79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6241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d32.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d32.nl" TargetMode="External"/><Relationship Id="rId5" Type="http://schemas.openxmlformats.org/officeDocument/2006/relationships/hyperlink" Target="http://home.co.mindef.nl/MP/33_serie/410/33_410_100.htm" TargetMode="External"/><Relationship Id="rId4" Type="http://schemas.openxmlformats.org/officeDocument/2006/relationships/hyperlink" Target="http://home.co.mindef.nl/MP/33_serie/400/33_400_10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8159</Characters>
  <Application>Microsoft Office Word</Application>
  <DocSecurity>0</DocSecurity>
  <Lines>67</Lines>
  <Paragraphs>19</Paragraphs>
  <ScaleCrop>false</ScaleCrop>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Windows-gebruiker</dc:creator>
  <cp:lastModifiedBy>Windows-gebruiker</cp:lastModifiedBy>
  <cp:revision>2</cp:revision>
  <dcterms:created xsi:type="dcterms:W3CDTF">2012-12-18T16:03:00Z</dcterms:created>
  <dcterms:modified xsi:type="dcterms:W3CDTF">2012-12-18T16:03:00Z</dcterms:modified>
</cp:coreProperties>
</file>